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AC" w:rsidRDefault="000333AC" w:rsidP="00874B3C">
      <w:pPr>
        <w:jc w:val="both"/>
        <w:rPr>
          <w:b/>
        </w:rPr>
      </w:pPr>
    </w:p>
    <w:p w:rsidR="004B338D" w:rsidRDefault="004B338D" w:rsidP="002942D1">
      <w:pPr>
        <w:pStyle w:val="Prrafodelista"/>
        <w:spacing w:after="120" w:line="269" w:lineRule="auto"/>
        <w:ind w:left="0"/>
        <w:jc w:val="both"/>
        <w:rPr>
          <w:b/>
        </w:rPr>
      </w:pPr>
    </w:p>
    <w:p w:rsidR="002942D1" w:rsidRPr="001351D6" w:rsidRDefault="001351D6" w:rsidP="002942D1">
      <w:pPr>
        <w:pStyle w:val="Prrafodelista"/>
        <w:spacing w:after="120" w:line="269" w:lineRule="auto"/>
        <w:ind w:left="0"/>
        <w:jc w:val="both"/>
        <w:rPr>
          <w:b/>
        </w:rPr>
      </w:pPr>
      <w:r w:rsidRPr="001351D6">
        <w:rPr>
          <w:b/>
        </w:rPr>
        <w:t>RESOLUCIÓN DE LA DIRECCIÓN DEL CENTRO INTERNACIONAL POR LA QUE SE  MODIFICAN LAS TABLAS DE CONVERSIÓN DE CALIFICACIONES ACADÉMICAS PARA LOS ESTUDIANTES DE LA UNIVERSIDAD DE SEVILLA QUE CURSAN PARTE DE SUS ESTUDIOS EN RÉGIMEN DE MOVILIDAD  INTERNACIONAL</w:t>
      </w:r>
      <w:r w:rsidR="006B35AD">
        <w:rPr>
          <w:b/>
        </w:rPr>
        <w:t xml:space="preserve"> EN </w:t>
      </w:r>
      <w:r w:rsidR="00855EC2">
        <w:rPr>
          <w:b/>
        </w:rPr>
        <w:t>ITALIA.</w:t>
      </w:r>
    </w:p>
    <w:p w:rsidR="001351D6" w:rsidRDefault="001351D6" w:rsidP="002942D1">
      <w:pPr>
        <w:pStyle w:val="Prrafodelista"/>
        <w:spacing w:after="120" w:line="269" w:lineRule="auto"/>
        <w:ind w:left="0"/>
        <w:jc w:val="both"/>
      </w:pPr>
    </w:p>
    <w:p w:rsidR="00264E19" w:rsidRDefault="007A0335" w:rsidP="007A0335">
      <w:pPr>
        <w:pStyle w:val="Prrafodelista"/>
        <w:spacing w:after="120" w:line="269" w:lineRule="auto"/>
        <w:ind w:left="0"/>
        <w:jc w:val="both"/>
        <w:rPr>
          <w:rFonts w:asciiTheme="minorHAnsi" w:hAnsiTheme="minorHAnsi"/>
        </w:rPr>
      </w:pPr>
      <w:r w:rsidRPr="007A0335">
        <w:t xml:space="preserve">Tras comprobar que en las tablas </w:t>
      </w:r>
      <w:r w:rsidR="002D164E" w:rsidRPr="007A0335">
        <w:t>aprobadas por Resolución rectoral de 28 de octubre de 2016</w:t>
      </w:r>
      <w:r w:rsidR="00E15349" w:rsidRPr="007A0335">
        <w:t xml:space="preserve"> y actualizadas sobre las tablas establecidas por el Ministerio de Educación</w:t>
      </w:r>
      <w:r w:rsidRPr="007A0335">
        <w:t>,</w:t>
      </w:r>
      <w:r w:rsidR="00E15349" w:rsidRPr="007A0335">
        <w:t xml:space="preserve"> </w:t>
      </w:r>
      <w:r w:rsidRPr="007A0335">
        <w:t xml:space="preserve">las equivalencias </w:t>
      </w:r>
      <w:r w:rsidR="00E15349" w:rsidRPr="007A0335">
        <w:t xml:space="preserve">con </w:t>
      </w:r>
      <w:r w:rsidR="002D164E" w:rsidRPr="007A0335">
        <w:t xml:space="preserve">respecto a la columna de </w:t>
      </w:r>
      <w:r w:rsidR="003544F0" w:rsidRPr="007A0335">
        <w:t>ITALIA</w:t>
      </w:r>
      <w:r w:rsidR="002D164E" w:rsidRPr="007A0335">
        <w:t xml:space="preserve"> no proceden</w:t>
      </w:r>
      <w:r w:rsidR="0034441F" w:rsidRPr="007A0335">
        <w:t xml:space="preserve"> en parte,</w:t>
      </w:r>
      <w:r w:rsidR="002D164E" w:rsidRPr="007A0335">
        <w:t xml:space="preserve"> al ser inadecuadas</w:t>
      </w:r>
      <w:r w:rsidRPr="007A0335">
        <w:t>,</w:t>
      </w:r>
      <w:r w:rsidR="002D164E" w:rsidRPr="007A0335">
        <w:t xml:space="preserve"> </w:t>
      </w:r>
      <w:r w:rsidRPr="007A0335">
        <w:t xml:space="preserve">este Centro Internacional acuerda modificar dichas tablas </w:t>
      </w:r>
      <w:r w:rsidR="002D164E" w:rsidRPr="007A0335">
        <w:rPr>
          <w:rFonts w:asciiTheme="minorHAnsi" w:hAnsiTheme="minorHAnsi"/>
        </w:rPr>
        <w:t xml:space="preserve">respecto a la columna de </w:t>
      </w:r>
      <w:r w:rsidR="00E15349" w:rsidRPr="007A0335">
        <w:rPr>
          <w:rFonts w:asciiTheme="minorHAnsi" w:hAnsiTheme="minorHAnsi"/>
        </w:rPr>
        <w:t>ITALIA</w:t>
      </w:r>
      <w:r w:rsidR="002D164E" w:rsidRPr="007A0335">
        <w:rPr>
          <w:rFonts w:asciiTheme="minorHAnsi" w:hAnsiTheme="minorHAnsi"/>
        </w:rPr>
        <w:t xml:space="preserve"> </w:t>
      </w:r>
      <w:r w:rsidR="001351D6" w:rsidRPr="007A0335">
        <w:rPr>
          <w:rFonts w:asciiTheme="minorHAnsi" w:hAnsiTheme="minorHAnsi"/>
        </w:rPr>
        <w:t xml:space="preserve">y considerar </w:t>
      </w:r>
      <w:r w:rsidR="002D164E" w:rsidRPr="007A0335">
        <w:rPr>
          <w:rFonts w:asciiTheme="minorHAnsi" w:hAnsiTheme="minorHAnsi"/>
        </w:rPr>
        <w:t xml:space="preserve">que las </w:t>
      </w:r>
      <w:r w:rsidR="00264E19" w:rsidRPr="007A0335">
        <w:rPr>
          <w:rFonts w:asciiTheme="minorHAnsi" w:hAnsiTheme="minorHAnsi"/>
        </w:rPr>
        <w:t>equivalencia</w:t>
      </w:r>
      <w:r w:rsidR="004B338D" w:rsidRPr="007A0335">
        <w:rPr>
          <w:rFonts w:asciiTheme="minorHAnsi" w:hAnsiTheme="minorHAnsi"/>
        </w:rPr>
        <w:t>s</w:t>
      </w:r>
      <w:r w:rsidR="00264E19" w:rsidRPr="007A0335">
        <w:rPr>
          <w:rFonts w:asciiTheme="minorHAnsi" w:hAnsiTheme="minorHAnsi"/>
        </w:rPr>
        <w:t xml:space="preserve"> de calificaciones será la siguiente</w:t>
      </w:r>
      <w:r w:rsidR="004B338D" w:rsidRPr="007A0335">
        <w:rPr>
          <w:rFonts w:asciiTheme="minorHAnsi" w:hAnsiTheme="minorHAnsi"/>
        </w:rPr>
        <w:t>:</w:t>
      </w:r>
    </w:p>
    <w:p w:rsidR="007A0335" w:rsidRPr="007A0335" w:rsidRDefault="007A0335" w:rsidP="007A0335">
      <w:pPr>
        <w:pStyle w:val="Prrafodelista"/>
        <w:spacing w:after="120" w:line="269" w:lineRule="auto"/>
        <w:ind w:left="0"/>
        <w:jc w:val="both"/>
        <w:rPr>
          <w:rFonts w:asciiTheme="minorHAnsi" w:hAnsiTheme="minorHAnsi"/>
        </w:rPr>
      </w:pPr>
    </w:p>
    <w:tbl>
      <w:tblPr>
        <w:tblW w:w="6277" w:type="dxa"/>
        <w:tblInd w:w="55" w:type="dxa"/>
        <w:tblCellMar>
          <w:left w:w="70" w:type="dxa"/>
          <w:right w:w="70" w:type="dxa"/>
        </w:tblCellMar>
        <w:tblLook w:val="04A0" w:firstRow="1" w:lastRow="0" w:firstColumn="1" w:lastColumn="0" w:noHBand="0" w:noVBand="1"/>
      </w:tblPr>
      <w:tblGrid>
        <w:gridCol w:w="2795"/>
        <w:gridCol w:w="419"/>
        <w:gridCol w:w="688"/>
        <w:gridCol w:w="2400"/>
      </w:tblGrid>
      <w:tr w:rsidR="00264E19" w:rsidRPr="007A0335" w:rsidTr="0034441F">
        <w:trPr>
          <w:trHeight w:val="300"/>
        </w:trPr>
        <w:tc>
          <w:tcPr>
            <w:tcW w:w="38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4E19" w:rsidRPr="007A0335" w:rsidRDefault="00264E19" w:rsidP="00E17821">
            <w:pPr>
              <w:spacing w:after="0" w:line="240" w:lineRule="auto"/>
              <w:jc w:val="center"/>
              <w:rPr>
                <w:rFonts w:eastAsia="Times New Roman"/>
                <w:color w:val="000000"/>
                <w:lang w:eastAsia="es-ES"/>
              </w:rPr>
            </w:pPr>
            <w:r w:rsidRPr="007A0335">
              <w:rPr>
                <w:rFonts w:eastAsia="Times New Roman"/>
                <w:color w:val="000000"/>
                <w:lang w:eastAsia="es-ES"/>
              </w:rPr>
              <w:t>Universidad de Sevilla</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264E19" w:rsidRPr="007A0335" w:rsidRDefault="00E15349" w:rsidP="007A0335">
            <w:pPr>
              <w:spacing w:after="0" w:line="240" w:lineRule="auto"/>
              <w:jc w:val="center"/>
              <w:rPr>
                <w:rFonts w:eastAsia="Times New Roman"/>
                <w:color w:val="000000"/>
                <w:lang w:eastAsia="es-ES"/>
              </w:rPr>
            </w:pPr>
            <w:r w:rsidRPr="007A0335">
              <w:rPr>
                <w:rFonts w:eastAsia="Times New Roman"/>
                <w:color w:val="000000"/>
                <w:lang w:eastAsia="es-ES"/>
              </w:rPr>
              <w:t>Italia</w:t>
            </w:r>
          </w:p>
        </w:tc>
      </w:tr>
      <w:tr w:rsidR="0034441F" w:rsidRPr="007A0335" w:rsidTr="00B25931">
        <w:trPr>
          <w:trHeight w:val="300"/>
        </w:trPr>
        <w:tc>
          <w:tcPr>
            <w:tcW w:w="2795" w:type="dxa"/>
            <w:tcBorders>
              <w:top w:val="nil"/>
              <w:left w:val="single" w:sz="4" w:space="0" w:color="auto"/>
              <w:bottom w:val="single" w:sz="4" w:space="0" w:color="auto"/>
              <w:right w:val="single" w:sz="4" w:space="0" w:color="auto"/>
            </w:tcBorders>
            <w:shd w:val="clear" w:color="auto" w:fill="auto"/>
            <w:noWrap/>
            <w:vAlign w:val="bottom"/>
          </w:tcPr>
          <w:p w:rsidR="0034441F" w:rsidRPr="007A0335" w:rsidRDefault="007A0335" w:rsidP="00E17821">
            <w:pPr>
              <w:spacing w:after="0" w:line="240" w:lineRule="auto"/>
              <w:rPr>
                <w:rFonts w:eastAsia="Times New Roman"/>
                <w:color w:val="000000"/>
                <w:lang w:eastAsia="es-ES"/>
              </w:rPr>
            </w:pPr>
            <w:r w:rsidRPr="007A0335">
              <w:rPr>
                <w:rFonts w:eastAsia="Times New Roman"/>
                <w:color w:val="000000"/>
                <w:lang w:eastAsia="es-ES"/>
              </w:rPr>
              <w:t>S</w:t>
            </w:r>
            <w:r w:rsidR="0034441F" w:rsidRPr="007A0335">
              <w:rPr>
                <w:rFonts w:eastAsia="Times New Roman"/>
                <w:color w:val="000000"/>
                <w:lang w:eastAsia="es-ES"/>
              </w:rPr>
              <w:t>obresaliente</w:t>
            </w:r>
          </w:p>
        </w:tc>
        <w:tc>
          <w:tcPr>
            <w:tcW w:w="394"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9.5</w:t>
            </w:r>
          </w:p>
        </w:tc>
        <w:tc>
          <w:tcPr>
            <w:tcW w:w="688"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3</w:t>
            </w:r>
          </w:p>
        </w:tc>
        <w:tc>
          <w:tcPr>
            <w:tcW w:w="2400"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110</w:t>
            </w:r>
          </w:p>
        </w:tc>
      </w:tr>
      <w:tr w:rsidR="0034441F" w:rsidRPr="007A0335" w:rsidTr="00744B2B">
        <w:trPr>
          <w:trHeight w:val="300"/>
        </w:trPr>
        <w:tc>
          <w:tcPr>
            <w:tcW w:w="2795" w:type="dxa"/>
            <w:tcBorders>
              <w:top w:val="nil"/>
              <w:left w:val="single" w:sz="4" w:space="0" w:color="auto"/>
              <w:bottom w:val="single" w:sz="4" w:space="0" w:color="auto"/>
              <w:right w:val="single" w:sz="4" w:space="0" w:color="auto"/>
            </w:tcBorders>
            <w:shd w:val="clear" w:color="auto" w:fill="auto"/>
            <w:noWrap/>
            <w:vAlign w:val="bottom"/>
          </w:tcPr>
          <w:p w:rsidR="0034441F" w:rsidRPr="007A0335" w:rsidRDefault="007A0335" w:rsidP="00E17821">
            <w:pPr>
              <w:spacing w:after="0" w:line="240" w:lineRule="auto"/>
              <w:rPr>
                <w:rFonts w:eastAsia="Times New Roman"/>
                <w:color w:val="000000"/>
                <w:lang w:eastAsia="es-ES"/>
              </w:rPr>
            </w:pPr>
            <w:r w:rsidRPr="007A0335">
              <w:rPr>
                <w:rFonts w:eastAsia="Times New Roman"/>
                <w:color w:val="000000"/>
                <w:lang w:eastAsia="es-ES"/>
              </w:rPr>
              <w:t>S</w:t>
            </w:r>
            <w:r w:rsidR="0034441F" w:rsidRPr="007A0335">
              <w:rPr>
                <w:rFonts w:eastAsia="Times New Roman"/>
                <w:color w:val="000000"/>
                <w:lang w:eastAsia="es-ES"/>
              </w:rPr>
              <w:t>obresaliente</w:t>
            </w:r>
          </w:p>
        </w:tc>
        <w:tc>
          <w:tcPr>
            <w:tcW w:w="394"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9.5</w:t>
            </w:r>
          </w:p>
        </w:tc>
        <w:tc>
          <w:tcPr>
            <w:tcW w:w="688"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3</w:t>
            </w:r>
          </w:p>
        </w:tc>
        <w:tc>
          <w:tcPr>
            <w:tcW w:w="2400"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30L</w:t>
            </w:r>
          </w:p>
        </w:tc>
      </w:tr>
      <w:tr w:rsidR="0034441F" w:rsidRPr="007A0335" w:rsidTr="002C468A">
        <w:trPr>
          <w:trHeight w:val="300"/>
        </w:trPr>
        <w:tc>
          <w:tcPr>
            <w:tcW w:w="2795" w:type="dxa"/>
            <w:tcBorders>
              <w:top w:val="nil"/>
              <w:left w:val="single" w:sz="4" w:space="0" w:color="auto"/>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rPr>
                <w:rFonts w:eastAsia="Times New Roman"/>
                <w:color w:val="000000"/>
                <w:lang w:eastAsia="es-ES"/>
              </w:rPr>
            </w:pPr>
            <w:r w:rsidRPr="007A0335">
              <w:rPr>
                <w:rFonts w:eastAsia="Times New Roman"/>
                <w:color w:val="000000"/>
                <w:lang w:eastAsia="es-ES"/>
              </w:rPr>
              <w:t>Matricula de Honor</w:t>
            </w:r>
          </w:p>
        </w:tc>
        <w:tc>
          <w:tcPr>
            <w:tcW w:w="394"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10</w:t>
            </w:r>
          </w:p>
        </w:tc>
        <w:tc>
          <w:tcPr>
            <w:tcW w:w="688"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4</w:t>
            </w:r>
          </w:p>
        </w:tc>
        <w:tc>
          <w:tcPr>
            <w:tcW w:w="2400" w:type="dxa"/>
            <w:tcBorders>
              <w:top w:val="nil"/>
              <w:left w:val="nil"/>
              <w:bottom w:val="single" w:sz="4" w:space="0" w:color="auto"/>
              <w:right w:val="single" w:sz="4" w:space="0" w:color="auto"/>
            </w:tcBorders>
            <w:shd w:val="clear" w:color="auto" w:fill="auto"/>
            <w:noWrap/>
            <w:vAlign w:val="bottom"/>
          </w:tcPr>
          <w:p w:rsidR="0034441F" w:rsidRPr="007A0335" w:rsidRDefault="0034441F" w:rsidP="00E17821">
            <w:pPr>
              <w:spacing w:after="0" w:line="240" w:lineRule="auto"/>
              <w:jc w:val="center"/>
              <w:rPr>
                <w:rFonts w:eastAsia="Times New Roman"/>
                <w:color w:val="000000"/>
                <w:lang w:eastAsia="es-ES"/>
              </w:rPr>
            </w:pPr>
            <w:r w:rsidRPr="007A0335">
              <w:rPr>
                <w:rFonts w:eastAsia="Times New Roman"/>
                <w:color w:val="000000"/>
                <w:lang w:eastAsia="es-ES"/>
              </w:rPr>
              <w:t>110L</w:t>
            </w:r>
          </w:p>
        </w:tc>
      </w:tr>
    </w:tbl>
    <w:p w:rsidR="002D164E" w:rsidRPr="007A0335" w:rsidRDefault="002D164E" w:rsidP="002942D1">
      <w:pPr>
        <w:spacing w:after="120" w:line="269" w:lineRule="auto"/>
        <w:jc w:val="both"/>
        <w:rPr>
          <w:rFonts w:asciiTheme="minorHAnsi" w:hAnsiTheme="minorHAnsi"/>
        </w:rPr>
      </w:pPr>
    </w:p>
    <w:p w:rsidR="001351D6" w:rsidRDefault="001351D6" w:rsidP="002942D1">
      <w:pPr>
        <w:spacing w:after="120" w:line="269" w:lineRule="auto"/>
        <w:jc w:val="both"/>
        <w:rPr>
          <w:rFonts w:asciiTheme="minorHAnsi" w:hAnsiTheme="minorHAnsi"/>
        </w:rPr>
      </w:pPr>
      <w:r w:rsidRPr="007A0335">
        <w:rPr>
          <w:rFonts w:asciiTheme="minorHAnsi" w:hAnsiTheme="minorHAnsi"/>
        </w:rPr>
        <w:t>Procede publicar esta Resolución en el BINUS y en la página web internacional.us.es</w:t>
      </w:r>
      <w:r w:rsidR="007A0335" w:rsidRPr="007A0335">
        <w:rPr>
          <w:rFonts w:asciiTheme="minorHAnsi" w:hAnsiTheme="minorHAnsi"/>
        </w:rPr>
        <w:t xml:space="preserve"> </w:t>
      </w:r>
    </w:p>
    <w:p w:rsidR="001351D6" w:rsidRDefault="001351D6" w:rsidP="001351D6">
      <w:pPr>
        <w:spacing w:after="120" w:line="269" w:lineRule="auto"/>
        <w:jc w:val="both"/>
        <w:rPr>
          <w:rFonts w:asciiTheme="minorHAnsi" w:hAnsiTheme="minorHAnsi" w:cs="LegacySanITCBoo"/>
        </w:rPr>
      </w:pPr>
      <w:r w:rsidRPr="007A0335">
        <w:rPr>
          <w:rFonts w:asciiTheme="minorHAnsi" w:hAnsiTheme="minorHAnsi" w:cs="LegacySanITCBoo"/>
        </w:rPr>
        <w:t>De acuerdo con lo previsto en los artículos 121 y 122 de la Ley del Procedimiento Administrativo Común de las Administraciones Públicas, Ley 39/2015, de 1 de octubre contra la presente resolución podrá recurrir en alzada ante el Sr. Rector Magnífico de la Universidad de Sevilla, en el plazo de un mes a contar desde el día siguiente a la notificación de la presente resolución.</w:t>
      </w:r>
    </w:p>
    <w:p w:rsidR="007A0335" w:rsidRPr="007A0335" w:rsidRDefault="007A0335" w:rsidP="001351D6">
      <w:pPr>
        <w:spacing w:after="120" w:line="269" w:lineRule="auto"/>
        <w:jc w:val="both"/>
        <w:rPr>
          <w:rFonts w:asciiTheme="minorHAnsi" w:hAnsiTheme="minorHAnsi" w:cs="LegacySanITCBoo"/>
        </w:rPr>
      </w:pPr>
    </w:p>
    <w:p w:rsidR="001351D6" w:rsidRPr="007A0335" w:rsidRDefault="0034441F" w:rsidP="001351D6">
      <w:pPr>
        <w:spacing w:after="120" w:line="269" w:lineRule="auto"/>
        <w:jc w:val="both"/>
        <w:rPr>
          <w:rFonts w:asciiTheme="minorHAnsi" w:hAnsiTheme="minorHAnsi" w:cs="LegacySanITCBoo"/>
        </w:rPr>
      </w:pPr>
      <w:r w:rsidRPr="007A0335">
        <w:rPr>
          <w:rFonts w:asciiTheme="minorHAnsi" w:hAnsiTheme="minorHAnsi" w:cs="LegacySanITCBoo"/>
        </w:rPr>
        <w:t>Sevilla a 22 de julio de 2020</w:t>
      </w:r>
      <w:r w:rsidR="007A0335" w:rsidRPr="007A0335">
        <w:rPr>
          <w:rFonts w:asciiTheme="minorHAnsi" w:hAnsiTheme="minorHAnsi" w:cs="LegacySanITCBoo"/>
        </w:rPr>
        <w:t>.</w:t>
      </w:r>
    </w:p>
    <w:p w:rsidR="001351D6" w:rsidRPr="007A0335" w:rsidRDefault="001351D6" w:rsidP="001351D6">
      <w:pPr>
        <w:spacing w:after="120" w:line="269" w:lineRule="auto"/>
        <w:jc w:val="both"/>
        <w:rPr>
          <w:rFonts w:asciiTheme="minorHAnsi" w:hAnsiTheme="minorHAnsi" w:cs="LegacySanITCBoo"/>
        </w:rPr>
      </w:pPr>
    </w:p>
    <w:p w:rsidR="001351D6" w:rsidRPr="007A0335" w:rsidRDefault="001351D6" w:rsidP="001351D6">
      <w:pPr>
        <w:spacing w:after="120" w:line="269" w:lineRule="auto"/>
        <w:jc w:val="center"/>
        <w:rPr>
          <w:rFonts w:asciiTheme="minorHAnsi" w:hAnsiTheme="minorHAnsi" w:cs="LegacySanITCBoo"/>
        </w:rPr>
      </w:pPr>
      <w:r w:rsidRPr="007A0335">
        <w:rPr>
          <w:rFonts w:asciiTheme="minorHAnsi" w:hAnsiTheme="minorHAnsi" w:cs="LegacySanITCBoo"/>
        </w:rPr>
        <w:t>LA DIRECTORA DEL CENTRO  INTERNACIONAL</w:t>
      </w:r>
    </w:p>
    <w:p w:rsidR="001351D6" w:rsidRPr="007A0335" w:rsidRDefault="001351D6" w:rsidP="001351D6">
      <w:pPr>
        <w:spacing w:after="120" w:line="269" w:lineRule="auto"/>
        <w:jc w:val="both"/>
        <w:rPr>
          <w:rFonts w:asciiTheme="minorHAnsi" w:hAnsiTheme="minorHAnsi" w:cs="LegacySanITCBoo"/>
        </w:rPr>
      </w:pPr>
    </w:p>
    <w:p w:rsidR="001351D6" w:rsidRPr="007A0335" w:rsidRDefault="001351D6" w:rsidP="001351D6">
      <w:pPr>
        <w:spacing w:after="120" w:line="269" w:lineRule="auto"/>
        <w:jc w:val="both"/>
        <w:rPr>
          <w:rFonts w:asciiTheme="minorHAnsi" w:hAnsiTheme="minorHAnsi" w:cs="LegacySanITCBoo"/>
        </w:rPr>
      </w:pPr>
    </w:p>
    <w:p w:rsidR="002942D1" w:rsidRPr="007A0335" w:rsidRDefault="001351D6" w:rsidP="001351D6">
      <w:pPr>
        <w:spacing w:after="120" w:line="269" w:lineRule="auto"/>
        <w:jc w:val="center"/>
        <w:rPr>
          <w:rFonts w:asciiTheme="minorHAnsi" w:hAnsiTheme="minorHAnsi" w:cs="LegacySanITCBoo"/>
        </w:rPr>
      </w:pPr>
      <w:r w:rsidRPr="007A0335">
        <w:rPr>
          <w:rFonts w:asciiTheme="minorHAnsi" w:hAnsiTheme="minorHAnsi" w:cs="LegacySanITCBoo"/>
        </w:rPr>
        <w:t>Fdo.: Rafaela Caballero Andaluz</w:t>
      </w:r>
    </w:p>
    <w:sectPr w:rsidR="002942D1" w:rsidRPr="007A0335" w:rsidSect="002942D1">
      <w:headerReference w:type="default" r:id="rId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59060" w15:done="0"/>
  <w15:commentEx w15:paraId="60E0A2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24" w:rsidRDefault="008C4924">
      <w:r>
        <w:separator/>
      </w:r>
    </w:p>
  </w:endnote>
  <w:endnote w:type="continuationSeparator" w:id="0">
    <w:p w:rsidR="008C4924" w:rsidRDefault="008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egacySanITCBoo">
    <w:altName w:val="Malgun Gothic"/>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24" w:rsidRDefault="008C4924">
      <w:r>
        <w:separator/>
      </w:r>
    </w:p>
  </w:footnote>
  <w:footnote w:type="continuationSeparator" w:id="0">
    <w:p w:rsidR="008C4924" w:rsidRDefault="008C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3AC" w:rsidRDefault="008801AA">
    <w:pPr>
      <w:pStyle w:val="Encabezado"/>
    </w:pPr>
    <w:r>
      <w:rPr>
        <w:noProof/>
        <w:lang w:eastAsia="es-ES"/>
      </w:rPr>
      <w:drawing>
        <wp:anchor distT="0" distB="0" distL="114300" distR="114300" simplePos="0" relativeHeight="251660288" behindDoc="0" locked="0" layoutInCell="1" allowOverlap="1" wp14:anchorId="6061BB21" wp14:editId="1F73494A">
          <wp:simplePos x="0" y="0"/>
          <wp:positionH relativeFrom="column">
            <wp:posOffset>19685</wp:posOffset>
          </wp:positionH>
          <wp:positionV relativeFrom="paragraph">
            <wp:posOffset>-69215</wp:posOffset>
          </wp:positionV>
          <wp:extent cx="1009015" cy="888365"/>
          <wp:effectExtent l="0" t="0" r="635" b="6985"/>
          <wp:wrapSquare wrapText="bothSides"/>
          <wp:docPr id="1" name="Imagen 1" descr="http://www.uacj.mx/DGIVS/SUMOVE/PublishingImages/uns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uacj.mx/DGIVS/SUMOVE/PublishingImages/unsev.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883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006"/>
    <w:multiLevelType w:val="hybridMultilevel"/>
    <w:tmpl w:val="2270A22C"/>
    <w:lvl w:ilvl="0" w:tplc="0C0A000F">
      <w:start w:val="1"/>
      <w:numFmt w:val="decimal"/>
      <w:lvlText w:val="%1."/>
      <w:lvlJc w:val="left"/>
      <w:pPr>
        <w:ind w:left="772" w:hanging="360"/>
      </w:pPr>
      <w:rPr>
        <w:rFonts w:cs="Times New Roman"/>
      </w:rPr>
    </w:lvl>
    <w:lvl w:ilvl="1" w:tplc="0C0A0019" w:tentative="1">
      <w:start w:val="1"/>
      <w:numFmt w:val="lowerLetter"/>
      <w:lvlText w:val="%2."/>
      <w:lvlJc w:val="left"/>
      <w:pPr>
        <w:ind w:left="1492" w:hanging="360"/>
      </w:pPr>
      <w:rPr>
        <w:rFonts w:cs="Times New Roman"/>
      </w:rPr>
    </w:lvl>
    <w:lvl w:ilvl="2" w:tplc="0C0A001B" w:tentative="1">
      <w:start w:val="1"/>
      <w:numFmt w:val="lowerRoman"/>
      <w:lvlText w:val="%3."/>
      <w:lvlJc w:val="right"/>
      <w:pPr>
        <w:ind w:left="2212" w:hanging="180"/>
      </w:pPr>
      <w:rPr>
        <w:rFonts w:cs="Times New Roman"/>
      </w:rPr>
    </w:lvl>
    <w:lvl w:ilvl="3" w:tplc="0C0A000F" w:tentative="1">
      <w:start w:val="1"/>
      <w:numFmt w:val="decimal"/>
      <w:lvlText w:val="%4."/>
      <w:lvlJc w:val="left"/>
      <w:pPr>
        <w:ind w:left="2932" w:hanging="360"/>
      </w:pPr>
      <w:rPr>
        <w:rFonts w:cs="Times New Roman"/>
      </w:rPr>
    </w:lvl>
    <w:lvl w:ilvl="4" w:tplc="0C0A0019" w:tentative="1">
      <w:start w:val="1"/>
      <w:numFmt w:val="lowerLetter"/>
      <w:lvlText w:val="%5."/>
      <w:lvlJc w:val="left"/>
      <w:pPr>
        <w:ind w:left="3652" w:hanging="360"/>
      </w:pPr>
      <w:rPr>
        <w:rFonts w:cs="Times New Roman"/>
      </w:rPr>
    </w:lvl>
    <w:lvl w:ilvl="5" w:tplc="0C0A001B" w:tentative="1">
      <w:start w:val="1"/>
      <w:numFmt w:val="lowerRoman"/>
      <w:lvlText w:val="%6."/>
      <w:lvlJc w:val="right"/>
      <w:pPr>
        <w:ind w:left="4372" w:hanging="180"/>
      </w:pPr>
      <w:rPr>
        <w:rFonts w:cs="Times New Roman"/>
      </w:rPr>
    </w:lvl>
    <w:lvl w:ilvl="6" w:tplc="0C0A000F" w:tentative="1">
      <w:start w:val="1"/>
      <w:numFmt w:val="decimal"/>
      <w:lvlText w:val="%7."/>
      <w:lvlJc w:val="left"/>
      <w:pPr>
        <w:ind w:left="5092" w:hanging="360"/>
      </w:pPr>
      <w:rPr>
        <w:rFonts w:cs="Times New Roman"/>
      </w:rPr>
    </w:lvl>
    <w:lvl w:ilvl="7" w:tplc="0C0A0019" w:tentative="1">
      <w:start w:val="1"/>
      <w:numFmt w:val="lowerLetter"/>
      <w:lvlText w:val="%8."/>
      <w:lvlJc w:val="left"/>
      <w:pPr>
        <w:ind w:left="5812" w:hanging="360"/>
      </w:pPr>
      <w:rPr>
        <w:rFonts w:cs="Times New Roman"/>
      </w:rPr>
    </w:lvl>
    <w:lvl w:ilvl="8" w:tplc="0C0A001B" w:tentative="1">
      <w:start w:val="1"/>
      <w:numFmt w:val="lowerRoman"/>
      <w:lvlText w:val="%9."/>
      <w:lvlJc w:val="right"/>
      <w:pPr>
        <w:ind w:left="6532" w:hanging="180"/>
      </w:pPr>
      <w:rPr>
        <w:rFonts w:cs="Times New Roman"/>
      </w:rPr>
    </w:lvl>
  </w:abstractNum>
  <w:abstractNum w:abstractNumId="1">
    <w:nsid w:val="5B7E3176"/>
    <w:multiLevelType w:val="hybridMultilevel"/>
    <w:tmpl w:val="7B1C66A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V">
    <w15:presenceInfo w15:providerId="None" w15:userId="C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D6"/>
    <w:rsid w:val="00031349"/>
    <w:rsid w:val="000333AC"/>
    <w:rsid w:val="000648B4"/>
    <w:rsid w:val="00080135"/>
    <w:rsid w:val="000B35F6"/>
    <w:rsid w:val="00102991"/>
    <w:rsid w:val="001178A9"/>
    <w:rsid w:val="001351D6"/>
    <w:rsid w:val="001401E4"/>
    <w:rsid w:val="00142655"/>
    <w:rsid w:val="00144E7A"/>
    <w:rsid w:val="00151063"/>
    <w:rsid w:val="00151D30"/>
    <w:rsid w:val="001653F1"/>
    <w:rsid w:val="00167564"/>
    <w:rsid w:val="001755A0"/>
    <w:rsid w:val="00191B11"/>
    <w:rsid w:val="001940AE"/>
    <w:rsid w:val="001B3D51"/>
    <w:rsid w:val="002223DD"/>
    <w:rsid w:val="00264E19"/>
    <w:rsid w:val="002942D1"/>
    <w:rsid w:val="002945AC"/>
    <w:rsid w:val="002C2DC5"/>
    <w:rsid w:val="002D164E"/>
    <w:rsid w:val="002E5742"/>
    <w:rsid w:val="0031173D"/>
    <w:rsid w:val="003152F8"/>
    <w:rsid w:val="00335097"/>
    <w:rsid w:val="0034441F"/>
    <w:rsid w:val="003544F0"/>
    <w:rsid w:val="00361E00"/>
    <w:rsid w:val="003946E5"/>
    <w:rsid w:val="003A4AE0"/>
    <w:rsid w:val="003E27B0"/>
    <w:rsid w:val="00433A78"/>
    <w:rsid w:val="0044360E"/>
    <w:rsid w:val="00496434"/>
    <w:rsid w:val="004B338D"/>
    <w:rsid w:val="004E2E07"/>
    <w:rsid w:val="00587EA9"/>
    <w:rsid w:val="005D56D0"/>
    <w:rsid w:val="006334CE"/>
    <w:rsid w:val="00692919"/>
    <w:rsid w:val="006B35AD"/>
    <w:rsid w:val="006E11D6"/>
    <w:rsid w:val="007069E4"/>
    <w:rsid w:val="00752B28"/>
    <w:rsid w:val="00770336"/>
    <w:rsid w:val="0077423D"/>
    <w:rsid w:val="007A0335"/>
    <w:rsid w:val="007B2B98"/>
    <w:rsid w:val="007D0E6D"/>
    <w:rsid w:val="007F49B7"/>
    <w:rsid w:val="0082032F"/>
    <w:rsid w:val="00855EC2"/>
    <w:rsid w:val="00874B3C"/>
    <w:rsid w:val="008801AA"/>
    <w:rsid w:val="008C4924"/>
    <w:rsid w:val="008D41A3"/>
    <w:rsid w:val="008D7B39"/>
    <w:rsid w:val="008E5E8E"/>
    <w:rsid w:val="0090559C"/>
    <w:rsid w:val="0095724D"/>
    <w:rsid w:val="009740F5"/>
    <w:rsid w:val="00975E46"/>
    <w:rsid w:val="009A05F9"/>
    <w:rsid w:val="009A4540"/>
    <w:rsid w:val="009D0B6D"/>
    <w:rsid w:val="009D56B1"/>
    <w:rsid w:val="00A157AA"/>
    <w:rsid w:val="00A31672"/>
    <w:rsid w:val="00A40395"/>
    <w:rsid w:val="00AA1184"/>
    <w:rsid w:val="00AA3443"/>
    <w:rsid w:val="00B2223E"/>
    <w:rsid w:val="00B87C78"/>
    <w:rsid w:val="00BC6391"/>
    <w:rsid w:val="00BE7520"/>
    <w:rsid w:val="00C678C6"/>
    <w:rsid w:val="00D4010A"/>
    <w:rsid w:val="00D4575F"/>
    <w:rsid w:val="00D529CD"/>
    <w:rsid w:val="00DC709C"/>
    <w:rsid w:val="00E15349"/>
    <w:rsid w:val="00E404CB"/>
    <w:rsid w:val="00E612C0"/>
    <w:rsid w:val="00EE257C"/>
    <w:rsid w:val="00F118D4"/>
    <w:rsid w:val="00F33D15"/>
    <w:rsid w:val="00F62A09"/>
    <w:rsid w:val="00F91E46"/>
    <w:rsid w:val="00FE5D16"/>
    <w:rsid w:val="00FF32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8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20"/>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7423D"/>
    <w:pPr>
      <w:ind w:left="720"/>
      <w:contextualSpacing/>
    </w:pPr>
  </w:style>
  <w:style w:type="character" w:styleId="Refdecomentario">
    <w:name w:val="annotation reference"/>
    <w:basedOn w:val="Fuentedeprrafopredeter"/>
    <w:uiPriority w:val="99"/>
    <w:semiHidden/>
    <w:rsid w:val="00587EA9"/>
    <w:rPr>
      <w:rFonts w:cs="Times New Roman"/>
      <w:sz w:val="16"/>
      <w:szCs w:val="16"/>
    </w:rPr>
  </w:style>
  <w:style w:type="paragraph" w:styleId="Textocomentario">
    <w:name w:val="annotation text"/>
    <w:basedOn w:val="Normal"/>
    <w:link w:val="TextocomentarioCar"/>
    <w:uiPriority w:val="99"/>
    <w:semiHidden/>
    <w:rsid w:val="00587EA9"/>
    <w:rPr>
      <w:sz w:val="20"/>
      <w:szCs w:val="20"/>
    </w:rPr>
  </w:style>
  <w:style w:type="character" w:customStyle="1" w:styleId="TextocomentarioCar">
    <w:name w:val="Texto comentario Car"/>
    <w:basedOn w:val="Fuentedeprrafopredeter"/>
    <w:link w:val="Textocomentario"/>
    <w:uiPriority w:val="99"/>
    <w:semiHidden/>
    <w:locked/>
    <w:rsid w:val="001401E4"/>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587EA9"/>
    <w:rPr>
      <w:b/>
      <w:bCs/>
    </w:rPr>
  </w:style>
  <w:style w:type="character" w:customStyle="1" w:styleId="AsuntodelcomentarioCar">
    <w:name w:val="Asunto del comentario Car"/>
    <w:basedOn w:val="TextocomentarioCar"/>
    <w:link w:val="Asuntodelcomentario"/>
    <w:uiPriority w:val="99"/>
    <w:semiHidden/>
    <w:locked/>
    <w:rsid w:val="001401E4"/>
    <w:rPr>
      <w:rFonts w:cs="Times New Roman"/>
      <w:b/>
      <w:bCs/>
      <w:sz w:val="20"/>
      <w:szCs w:val="20"/>
      <w:lang w:eastAsia="en-US"/>
    </w:rPr>
  </w:style>
  <w:style w:type="paragraph" w:styleId="Textodeglobo">
    <w:name w:val="Balloon Text"/>
    <w:basedOn w:val="Normal"/>
    <w:link w:val="TextodegloboCar"/>
    <w:uiPriority w:val="99"/>
    <w:semiHidden/>
    <w:rsid w:val="00587EA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401E4"/>
    <w:rPr>
      <w:rFonts w:ascii="Times New Roman" w:hAnsi="Times New Roman" w:cs="Times New Roman"/>
      <w:sz w:val="2"/>
      <w:lang w:eastAsia="en-US"/>
    </w:rPr>
  </w:style>
  <w:style w:type="paragraph" w:styleId="NormalWeb">
    <w:name w:val="Normal (Web)"/>
    <w:basedOn w:val="Normal"/>
    <w:uiPriority w:val="99"/>
    <w:rsid w:val="00AA3443"/>
    <w:pPr>
      <w:spacing w:before="100" w:beforeAutospacing="1" w:after="100" w:afterAutospacing="1" w:line="240" w:lineRule="auto"/>
    </w:pPr>
    <w:rPr>
      <w:rFonts w:ascii="Times New Roman" w:eastAsia="MS Mincho" w:hAnsi="Times New Roman"/>
      <w:sz w:val="24"/>
      <w:szCs w:val="24"/>
      <w:lang w:eastAsia="ja-JP"/>
    </w:rPr>
  </w:style>
  <w:style w:type="paragraph" w:styleId="Encabezado">
    <w:name w:val="header"/>
    <w:basedOn w:val="Normal"/>
    <w:link w:val="EncabezadoCar"/>
    <w:uiPriority w:val="99"/>
    <w:rsid w:val="00102991"/>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eastAsia="en-US"/>
    </w:rPr>
  </w:style>
  <w:style w:type="paragraph" w:styleId="Piedepgina">
    <w:name w:val="footer"/>
    <w:basedOn w:val="Normal"/>
    <w:link w:val="PiedepginaCar"/>
    <w:uiPriority w:val="99"/>
    <w:rsid w:val="00102991"/>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20"/>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7423D"/>
    <w:pPr>
      <w:ind w:left="720"/>
      <w:contextualSpacing/>
    </w:pPr>
  </w:style>
  <w:style w:type="character" w:styleId="Refdecomentario">
    <w:name w:val="annotation reference"/>
    <w:basedOn w:val="Fuentedeprrafopredeter"/>
    <w:uiPriority w:val="99"/>
    <w:semiHidden/>
    <w:rsid w:val="00587EA9"/>
    <w:rPr>
      <w:rFonts w:cs="Times New Roman"/>
      <w:sz w:val="16"/>
      <w:szCs w:val="16"/>
    </w:rPr>
  </w:style>
  <w:style w:type="paragraph" w:styleId="Textocomentario">
    <w:name w:val="annotation text"/>
    <w:basedOn w:val="Normal"/>
    <w:link w:val="TextocomentarioCar"/>
    <w:uiPriority w:val="99"/>
    <w:semiHidden/>
    <w:rsid w:val="00587EA9"/>
    <w:rPr>
      <w:sz w:val="20"/>
      <w:szCs w:val="20"/>
    </w:rPr>
  </w:style>
  <w:style w:type="character" w:customStyle="1" w:styleId="TextocomentarioCar">
    <w:name w:val="Texto comentario Car"/>
    <w:basedOn w:val="Fuentedeprrafopredeter"/>
    <w:link w:val="Textocomentario"/>
    <w:uiPriority w:val="99"/>
    <w:semiHidden/>
    <w:locked/>
    <w:rsid w:val="001401E4"/>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587EA9"/>
    <w:rPr>
      <w:b/>
      <w:bCs/>
    </w:rPr>
  </w:style>
  <w:style w:type="character" w:customStyle="1" w:styleId="AsuntodelcomentarioCar">
    <w:name w:val="Asunto del comentario Car"/>
    <w:basedOn w:val="TextocomentarioCar"/>
    <w:link w:val="Asuntodelcomentario"/>
    <w:uiPriority w:val="99"/>
    <w:semiHidden/>
    <w:locked/>
    <w:rsid w:val="001401E4"/>
    <w:rPr>
      <w:rFonts w:cs="Times New Roman"/>
      <w:b/>
      <w:bCs/>
      <w:sz w:val="20"/>
      <w:szCs w:val="20"/>
      <w:lang w:eastAsia="en-US"/>
    </w:rPr>
  </w:style>
  <w:style w:type="paragraph" w:styleId="Textodeglobo">
    <w:name w:val="Balloon Text"/>
    <w:basedOn w:val="Normal"/>
    <w:link w:val="TextodegloboCar"/>
    <w:uiPriority w:val="99"/>
    <w:semiHidden/>
    <w:rsid w:val="00587EA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401E4"/>
    <w:rPr>
      <w:rFonts w:ascii="Times New Roman" w:hAnsi="Times New Roman" w:cs="Times New Roman"/>
      <w:sz w:val="2"/>
      <w:lang w:eastAsia="en-US"/>
    </w:rPr>
  </w:style>
  <w:style w:type="paragraph" w:styleId="NormalWeb">
    <w:name w:val="Normal (Web)"/>
    <w:basedOn w:val="Normal"/>
    <w:uiPriority w:val="99"/>
    <w:rsid w:val="00AA3443"/>
    <w:pPr>
      <w:spacing w:before="100" w:beforeAutospacing="1" w:after="100" w:afterAutospacing="1" w:line="240" w:lineRule="auto"/>
    </w:pPr>
    <w:rPr>
      <w:rFonts w:ascii="Times New Roman" w:eastAsia="MS Mincho" w:hAnsi="Times New Roman"/>
      <w:sz w:val="24"/>
      <w:szCs w:val="24"/>
      <w:lang w:eastAsia="ja-JP"/>
    </w:rPr>
  </w:style>
  <w:style w:type="paragraph" w:styleId="Encabezado">
    <w:name w:val="header"/>
    <w:basedOn w:val="Normal"/>
    <w:link w:val="EncabezadoCar"/>
    <w:uiPriority w:val="99"/>
    <w:rsid w:val="00102991"/>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lang w:eastAsia="en-US"/>
    </w:rPr>
  </w:style>
  <w:style w:type="paragraph" w:styleId="Piedepgina">
    <w:name w:val="footer"/>
    <w:basedOn w:val="Normal"/>
    <w:link w:val="PiedepginaCar"/>
    <w:uiPriority w:val="99"/>
    <w:rsid w:val="00102991"/>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792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RESOLUCIÓN DE LA DIRECCIÓN DEL CENTRO INTERNACIONAL SOBRE TABLA DE CONVERSIÓN DE CALIFICACIONES DE LOS ESTUDIANTES DE LA UNIVERSIDAD DE SEVILLA EN RÉGIMEN DE MOVILIDAD  INTERNACIONAL DE 30 DE SEPTIEMBRE DE 2016</vt:lpstr>
    </vt:vector>
  </TitlesOfParts>
  <Company>US</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LA DIRECCIÓN DEL CENTRO INTERNACIONAL SOBRE TABLA DE CONVERSIÓN DE CALIFICACIONES DE LOS ESTUDIANTES DE LA UNIVERSIDAD DE SEVILLA EN RÉGIMEN DE MOVILIDAD  INTERNACIONAL DE 30 DE SEPTIEMBRE DE 2016</dc:title>
  <dc:creator>Jose Manuel</dc:creator>
  <cp:lastModifiedBy>usuario</cp:lastModifiedBy>
  <cp:revision>2</cp:revision>
  <cp:lastPrinted>2016-10-26T09:00:00Z</cp:lastPrinted>
  <dcterms:created xsi:type="dcterms:W3CDTF">2020-07-24T07:50:00Z</dcterms:created>
  <dcterms:modified xsi:type="dcterms:W3CDTF">2020-07-24T07:50:00Z</dcterms:modified>
</cp:coreProperties>
</file>